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8BF" w:rsidRDefault="00BC38BF" w:rsidP="00BC38BF">
      <w:pPr>
        <w:spacing w:line="28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4609,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09 DE MARÇO DE 2012</w:t>
      </w:r>
    </w:p>
    <w:p w:rsidR="00BC38BF" w:rsidRDefault="00BC38BF" w:rsidP="00BC38BF">
      <w:pPr>
        <w:spacing w:line="280" w:lineRule="auto"/>
        <w:rPr>
          <w:b/>
          <w:color w:val="000000"/>
        </w:rPr>
      </w:pPr>
    </w:p>
    <w:p w:rsidR="00BC38BF" w:rsidRDefault="00BC38BF" w:rsidP="00BC38BF">
      <w:pPr>
        <w:spacing w:line="280" w:lineRule="auto"/>
        <w:rPr>
          <w:b/>
          <w:color w:val="000000"/>
        </w:rPr>
      </w:pPr>
    </w:p>
    <w:p w:rsidR="00BC38BF" w:rsidRDefault="00BC38BF" w:rsidP="00BC38BF">
      <w:pPr>
        <w:ind w:left="4920"/>
        <w:jc w:val="both"/>
        <w:rPr>
          <w:sz w:val="24"/>
          <w:szCs w:val="24"/>
        </w:rPr>
      </w:pPr>
      <w:r>
        <w:rPr>
          <w:sz w:val="24"/>
          <w:szCs w:val="24"/>
        </w:rPr>
        <w:t>Autoriza abertura de crédito especial e dá outras providências.</w:t>
      </w:r>
    </w:p>
    <w:p w:rsidR="00BC38BF" w:rsidRDefault="00BC38BF" w:rsidP="00BC38BF">
      <w:pPr>
        <w:jc w:val="both"/>
        <w:rPr>
          <w:sz w:val="24"/>
          <w:szCs w:val="24"/>
        </w:rPr>
      </w:pPr>
    </w:p>
    <w:p w:rsidR="00BC38BF" w:rsidRDefault="00BC38BF" w:rsidP="00BC38BF">
      <w:pPr>
        <w:pStyle w:val="Recuodecorpodetexto"/>
        <w:keepNext/>
        <w:ind w:left="0" w:firstLine="14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CÂMARA MUNICIPAL DE FORMIGA APROVOU E EU SANCIONO A SEGUINTE LEI:</w:t>
      </w:r>
      <w:r>
        <w:rPr>
          <w:rFonts w:ascii="Times New Roman" w:hAnsi="Times New Roman" w:cs="Times New Roman"/>
          <w:szCs w:val="24"/>
        </w:rPr>
        <w:tab/>
      </w:r>
    </w:p>
    <w:p w:rsidR="00BC38BF" w:rsidRDefault="00BC38BF" w:rsidP="00BC38BF">
      <w:pPr>
        <w:keepNext/>
        <w:ind w:firstLine="2124"/>
        <w:jc w:val="both"/>
        <w:rPr>
          <w:sz w:val="24"/>
          <w:szCs w:val="24"/>
        </w:rPr>
      </w:pPr>
    </w:p>
    <w:p w:rsidR="00BC38BF" w:rsidRDefault="00BC38BF" w:rsidP="00BC38BF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o Poder Executivo autorizado a abrir no Orçamento Vigente, Crédito Especial no valor de R$ 1.742.576,33 (Hum milhão, setecentos e quarenta e dois mil, quinhentos e setenta e seis reais e trinta e três centavos), conforme a seguinte discriminação:</w:t>
      </w:r>
    </w:p>
    <w:p w:rsidR="00BC38BF" w:rsidRDefault="00BC38BF" w:rsidP="00BC38BF">
      <w:pPr>
        <w:keepNext/>
        <w:jc w:val="both"/>
        <w:rPr>
          <w:sz w:val="24"/>
          <w:szCs w:val="24"/>
        </w:rPr>
      </w:pPr>
    </w:p>
    <w:p w:rsidR="00BC38BF" w:rsidRDefault="00BC38BF" w:rsidP="00BC38BF">
      <w:pPr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3"/>
        <w:gridCol w:w="6505"/>
        <w:gridCol w:w="1645"/>
      </w:tblGrid>
      <w:tr w:rsidR="00BC38BF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PREFEITURA MUNICIPAL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BC38BF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02.08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SECRETARIA DE OBRAS E TRÂNSITO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BC38BF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26 782 0052 1.146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Pavimentação de Ruas e Avenidas – Ministério Cidades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C38BF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4490 51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Obras e Instalações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50.271,21</w:t>
            </w:r>
          </w:p>
        </w:tc>
      </w:tr>
      <w:tr w:rsidR="00BC38BF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26 782 0052 1.147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Obras de Arte Urbanas - SETOP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C38BF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4490 51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Obras e Instalações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65.533,65</w:t>
            </w:r>
          </w:p>
        </w:tc>
      </w:tr>
      <w:tr w:rsidR="00BC38BF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02.09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SECRETARIA DE SAÚDE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BC38BF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02.09.01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FUNDO MUNICIPAL DE SAÚDE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BC38BF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10 122 0001 1.148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Aquis. Equipamentos, Móveis e Veículos Adm. - SAÚDE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C38BF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4490 52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Equipamentos e Material Permanente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7.010,92</w:t>
            </w:r>
          </w:p>
        </w:tc>
      </w:tr>
      <w:tr w:rsidR="00BC38BF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10 122 0001 1.149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Aquis. Equipamentos, Móveis e Veículos - CONVSA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C38BF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4490 52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Equipamentos e Material Permanente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28.961,60</w:t>
            </w:r>
          </w:p>
        </w:tc>
      </w:tr>
      <w:tr w:rsidR="00BC38BF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10 122 0003 1.150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Construção de UBS no Bairro Vila Didi – PSF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C38BF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4490 51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Obras e Instalações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23.323,44</w:t>
            </w:r>
          </w:p>
        </w:tc>
      </w:tr>
      <w:tr w:rsidR="00BC38BF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10 301 0020 1.151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Aquisição de Equipamentos para o CAPS - OUTSUS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C38BF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4490 52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Equipamentos e Material Permanente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10.649,80</w:t>
            </w:r>
          </w:p>
        </w:tc>
      </w:tr>
      <w:tr w:rsidR="00BC38BF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10 301 0021 1.152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Construção Unidade de Pronto Atendimento UPA-OUTSUS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C38BF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4490 51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Obras e Instalações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764.131,03</w:t>
            </w:r>
          </w:p>
        </w:tc>
      </w:tr>
      <w:tr w:rsidR="00BC38BF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02.10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SECRETARIA DE EDUCAÇÃO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BC38BF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12 365 0009 1.153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Construção de Escolas Infantis – Pró-Infância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C38BF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4490 51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Obras e Instalações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208.508,32</w:t>
            </w:r>
          </w:p>
        </w:tc>
      </w:tr>
      <w:tr w:rsidR="00BC38BF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12 365 0009 1.154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Aquisição Equip. p/Desenv. Ensino Infantil – Pró-Infância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C38BF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4490 52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Equipamentos e Material Permanente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44.258,46</w:t>
            </w:r>
          </w:p>
        </w:tc>
      </w:tr>
      <w:tr w:rsidR="00BC38BF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12 365 0009 2.249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Manutenção do Ensino Infantil – Pró-Infância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C38BF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3390 30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Material de Consumo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BC38BF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27 812 0016 1.155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Implantação de Academias ao Ar Livre - SEEJ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C38BF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4490 52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Equipamentos e Material Permanente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49.923,27</w:t>
            </w:r>
          </w:p>
        </w:tc>
      </w:tr>
      <w:tr w:rsidR="00BC38BF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27 812 0016 1.156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Construção de Quadras Poliesportivas – Minist. Esportes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BC38BF" w:rsidRDefault="00BC38BF" w:rsidP="00BC38BF">
      <w:pPr>
        <w:jc w:val="both"/>
        <w:rPr>
          <w:sz w:val="22"/>
          <w:szCs w:val="22"/>
        </w:rPr>
      </w:pPr>
    </w:p>
    <w:p w:rsidR="00BC38BF" w:rsidRDefault="00BC38BF" w:rsidP="00BC38BF">
      <w:pPr>
        <w:keepNext/>
        <w:ind w:firstLine="709"/>
        <w:jc w:val="both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3"/>
        <w:gridCol w:w="6505"/>
        <w:gridCol w:w="1645"/>
      </w:tblGrid>
      <w:tr w:rsidR="00BC38BF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4490 51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Obras e Instalações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4.464,74</w:t>
            </w:r>
          </w:p>
        </w:tc>
      </w:tr>
      <w:tr w:rsidR="00BC38BF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02 11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SECRETARIA DE GESTÃO AMBIENTAL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BC38BF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15 452 0054 1.157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Construção e Melhoria de Praças Públicas – Min. Turismo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C38BF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449051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Obras e Instalações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30,41</w:t>
            </w:r>
          </w:p>
        </w:tc>
      </w:tr>
      <w:tr w:rsidR="00BC38BF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02 12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SECRETARIA DE DESENVOLVIMENTO HUMANO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BC38BF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02 12 01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FUNDO MUNICIPAL DE ASSISTÊNCIA SOCIAL - FMAS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BC38BF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08 244 0001 2.250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Manutenção do BPC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C38BF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3390 92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Indenizações e Restituições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8,11</w:t>
            </w:r>
          </w:p>
        </w:tc>
      </w:tr>
      <w:tr w:rsidR="00BC38BF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28 244 0028 1.158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Aquisição de Equipamentos para o CRAS I - SEDESE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C38BF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4490 52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Equipamentos e Material Permanente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30.000,00</w:t>
            </w:r>
          </w:p>
        </w:tc>
      </w:tr>
      <w:tr w:rsidR="00BC38BF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08 243 0028 2.251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Manutenção dos Serviços do CRAS II - PETI EMPJ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C38BF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3390 92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Indenizações e Restituições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25.878,67</w:t>
            </w:r>
          </w:p>
        </w:tc>
      </w:tr>
      <w:tr w:rsidR="00BC38BF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08 306 0029 1.159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Const. Reforma Ampliação Banco Alimentos – PBA MDS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C38BF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449051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Obras e Instalações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200.000,00</w:t>
            </w:r>
          </w:p>
        </w:tc>
      </w:tr>
      <w:tr w:rsidR="00BC38BF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08 306 0029 1.160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Aquisição de Equipamentos p/o Banco de Alimentos - PBA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C38BF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4490 52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Equipamentos e Material Permanente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100.000,00</w:t>
            </w:r>
          </w:p>
        </w:tc>
      </w:tr>
      <w:tr w:rsidR="00BC38BF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08 306 0029 2.252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Manutenção do Banco de Alimentos – PBA MDS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C38BF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3390 30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Material de Consumo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35.199,44</w:t>
            </w:r>
          </w:p>
        </w:tc>
      </w:tr>
      <w:tr w:rsidR="00BC38BF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08 244 0067 1.161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Aquisição de Equipamentos para o CREAS - SEDESE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C38BF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4490 52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Equipamentos e Material Permanente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32.839,53</w:t>
            </w:r>
          </w:p>
        </w:tc>
      </w:tr>
      <w:tr w:rsidR="00BC38BF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02 12 021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FUNDO MUNICIPAL DE HABITAÇÃO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BC38BF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16 482 0035 2.253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Manutenção da Habitação de Interesse Local - PLHIS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C38BF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3390 30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Material de Consumo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375,05</w:t>
            </w:r>
          </w:p>
        </w:tc>
      </w:tr>
      <w:tr w:rsidR="00BC38BF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3390 39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Outros Serviços de Terceiros Pessoa Jurídica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49.165,48</w:t>
            </w:r>
          </w:p>
        </w:tc>
      </w:tr>
      <w:tr w:rsidR="00BC38BF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02 14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SECRETARIA DE CULTURA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BC38BF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13 392 0036 1.162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Aquisição de Equipamentos p/o Museu Histórico - SECMG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C38BF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4490 52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Equipamentos e Material Permanente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9.926,18</w:t>
            </w:r>
          </w:p>
        </w:tc>
      </w:tr>
      <w:tr w:rsidR="00BC38BF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13 392 0037 2.254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Manutenção do Museu Histórico - SECMG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C38BF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3390 30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Material de Consumo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386,00</w:t>
            </w:r>
          </w:p>
        </w:tc>
      </w:tr>
      <w:tr w:rsidR="00BC38BF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3390 39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Outros Serviços de Terceiros Pessoa Jurídica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1.231,02</w:t>
            </w:r>
          </w:p>
        </w:tc>
      </w:tr>
      <w:tr w:rsidR="00BC38BF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keepNext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1.742.576,33</w:t>
            </w:r>
          </w:p>
        </w:tc>
      </w:tr>
    </w:tbl>
    <w:p w:rsidR="00BC38BF" w:rsidRDefault="00BC38BF" w:rsidP="00BC38BF">
      <w:pPr>
        <w:pStyle w:val="Corpodetexto"/>
        <w:rPr>
          <w:sz w:val="24"/>
          <w:szCs w:val="24"/>
        </w:rPr>
      </w:pPr>
    </w:p>
    <w:p w:rsidR="00BC38BF" w:rsidRDefault="00BC38BF" w:rsidP="00BC38BF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§ 1º</w:t>
      </w:r>
      <w:r>
        <w:rPr>
          <w:sz w:val="24"/>
          <w:szCs w:val="24"/>
        </w:rPr>
        <w:t xml:space="preserve"> Fica o Poder Executivo autorizado a incluir no Plano Plurianual para o período 2010/2013, os Programas e Ações, conforme a seguinte discriminação:</w:t>
      </w:r>
    </w:p>
    <w:p w:rsidR="00BC38BF" w:rsidRDefault="00BC38BF" w:rsidP="00BC38BF">
      <w:pPr>
        <w:pStyle w:val="Corpodetexto"/>
        <w:ind w:firstLine="1843"/>
        <w:rPr>
          <w:color w:val="0000FF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08"/>
        <w:gridCol w:w="5775"/>
      </w:tblGrid>
      <w:tr w:rsidR="00BC38BF" w:rsidTr="000A1074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pStyle w:val="Corpodetexto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PROGRAMAS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pStyle w:val="Corpodetexto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AÇÕES</w:t>
            </w:r>
          </w:p>
        </w:tc>
      </w:tr>
      <w:tr w:rsidR="00BC38BF" w:rsidTr="000A1074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pStyle w:val="Corpodetexto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0052 – Trânsito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pStyle w:val="Corpodetexto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1.146 – Pavimentação de Ruas e Avenidas – Minist. Cidades</w:t>
            </w:r>
          </w:p>
        </w:tc>
      </w:tr>
      <w:tr w:rsidR="00BC38BF" w:rsidTr="000A1074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pStyle w:val="Corpodetexto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0052 – Trânsito 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pStyle w:val="Corpodetexto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1.147 – Obras de Arte Urbanas - SETOP</w:t>
            </w:r>
          </w:p>
        </w:tc>
      </w:tr>
      <w:tr w:rsidR="00BC38BF" w:rsidTr="000A1074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pStyle w:val="Corpodetexto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 – Modernização Administrativa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pStyle w:val="Corpodetexto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1.148 – Aquisição de Equipamentos, Móveis e Veículos Adm - SAÚDE</w:t>
            </w:r>
          </w:p>
        </w:tc>
      </w:tr>
      <w:tr w:rsidR="00BC38BF" w:rsidTr="000A1074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pStyle w:val="Corpodetexto"/>
              <w:snapToGrid w:val="0"/>
              <w:rPr>
                <w:sz w:val="22"/>
                <w:szCs w:val="22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pStyle w:val="Corpodetexto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1.149 – Aquisição de Equipamentos, Móveis e Veículos - CONVSA</w:t>
            </w:r>
          </w:p>
        </w:tc>
      </w:tr>
      <w:tr w:rsidR="00BC38BF" w:rsidTr="000A1074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pStyle w:val="Corpodetexto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 – Promoção e Execução das Ações de Saúde Coletiva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pStyle w:val="Corpodetexto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1.150 – Construção de UBS no Bairro Vila Didi - PSF</w:t>
            </w:r>
          </w:p>
        </w:tc>
      </w:tr>
      <w:tr w:rsidR="00BC38BF" w:rsidTr="000A1074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pStyle w:val="Corpodetexto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 – Saúde Mental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pStyle w:val="Corpodetexto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1.151 – Aquisição de Equipamentos para o CAPS - OUTSUS</w:t>
            </w:r>
          </w:p>
        </w:tc>
      </w:tr>
      <w:tr w:rsidR="00BC38BF" w:rsidTr="000A1074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pStyle w:val="Corpodetexto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0021 – Prestação de Serviços de Saúde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pStyle w:val="Corpodetexto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1.152 – Construção da Unidade de Pronto Atendimento UPA - OUTSUS</w:t>
            </w:r>
          </w:p>
        </w:tc>
      </w:tr>
      <w:tr w:rsidR="00BC38BF" w:rsidTr="000A1074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pStyle w:val="Corpodetexto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 – Educação Eficiente e Eficaz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pStyle w:val="Corpodetexto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1.153 – Construção de Escolas Infantis - Pró-Infância</w:t>
            </w:r>
          </w:p>
        </w:tc>
      </w:tr>
      <w:tr w:rsidR="00BC38BF" w:rsidTr="000A1074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pStyle w:val="Corpodetexto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 – Educação Eficiente e Eficaz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pStyle w:val="Corpodetexto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1.154 – Aquisição de Equipamentos p/Desenv. Ensino Infantil – Pró-Infância</w:t>
            </w:r>
          </w:p>
        </w:tc>
      </w:tr>
      <w:tr w:rsidR="00BC38BF" w:rsidTr="000A1074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pStyle w:val="Corpodetexto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 – Educação Eficiente e eficaz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pStyle w:val="Corpodetexto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2.249 – Manutenção do Ensino Infantil – Pró-Infância</w:t>
            </w:r>
          </w:p>
        </w:tc>
      </w:tr>
      <w:tr w:rsidR="00BC38BF" w:rsidTr="000A1074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pStyle w:val="Corpodetexto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0016 – Esporte – Integração Saudável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pStyle w:val="Corpodetexto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1.155 – Implantação de Academias ao Ar Livre – SEEJ</w:t>
            </w:r>
          </w:p>
        </w:tc>
      </w:tr>
      <w:tr w:rsidR="00BC38BF" w:rsidTr="000A1074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pStyle w:val="Corpodetexto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0016 – Esporte – Integração Saudável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pStyle w:val="Corpodetexto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1.156 – Construção de Quadras Poliesportivas – Ministério dos Esportes</w:t>
            </w:r>
          </w:p>
        </w:tc>
      </w:tr>
      <w:tr w:rsidR="00BC38BF" w:rsidTr="000A1074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pStyle w:val="Corpodetexto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0054 – Parques, Praças e Jardins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pStyle w:val="Corpodetexto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1.157 – Construção e Melhoria de Praças Públicas – Mistério do turismo</w:t>
            </w:r>
          </w:p>
        </w:tc>
      </w:tr>
      <w:tr w:rsidR="00BC38BF" w:rsidTr="000A1074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pStyle w:val="Corpodetexto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 – Modernização Administrativa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pStyle w:val="Corpodetexto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2.250 – Manutenção do BPC</w:t>
            </w:r>
          </w:p>
        </w:tc>
      </w:tr>
      <w:tr w:rsidR="00BC38BF" w:rsidTr="000A1074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pStyle w:val="Corpodetexto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0028 - CRAS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pStyle w:val="Corpodetexto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1.158 – Aquisição de Equipamentos para o CRAS I – SEDESE</w:t>
            </w:r>
          </w:p>
        </w:tc>
      </w:tr>
      <w:tr w:rsidR="00BC38BF" w:rsidTr="000A1074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pStyle w:val="Corpodetexto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0028 - CRAS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pStyle w:val="Corpodetexto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2.251 – Manutenção dos Serviços do CRAS II – PETI EMPJ</w:t>
            </w:r>
          </w:p>
        </w:tc>
      </w:tr>
      <w:tr w:rsidR="00BC38BF" w:rsidTr="000A1074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pStyle w:val="Corpodetexto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 – Banco de Alimentos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pStyle w:val="Corpodetexto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1.159 – Construção, Reforma e Ampliação do Banco de Alimentos – PBA MDS</w:t>
            </w:r>
          </w:p>
        </w:tc>
      </w:tr>
      <w:tr w:rsidR="00BC38BF" w:rsidTr="000A1074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pStyle w:val="Corpodetexto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 – Banco de Alimentos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pStyle w:val="Corpodetexto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1.160 – Aquisição de Equipamentos para o Banco de Alimentos – PBA MDS</w:t>
            </w:r>
          </w:p>
        </w:tc>
      </w:tr>
      <w:tr w:rsidR="00BC38BF" w:rsidTr="000A1074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pStyle w:val="Corpodetexto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 – Banco de Alimentos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pStyle w:val="Corpodetexto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2.252 – Manutenção do Banco de Alimentos – PBA MDS</w:t>
            </w:r>
          </w:p>
        </w:tc>
      </w:tr>
      <w:tr w:rsidR="00BC38BF" w:rsidTr="000A1074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pStyle w:val="Corpodetexto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0067 – CREAS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pStyle w:val="Corpodetexto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1.161 – Aquisição de Equipamentos para o CREAS - SEDESE</w:t>
            </w:r>
          </w:p>
        </w:tc>
      </w:tr>
      <w:tr w:rsidR="00BC38BF" w:rsidTr="000A1074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pStyle w:val="Corpodetexto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 – Banco de Alimentos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pStyle w:val="Corpodetexto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2.250 – Manutenção do Banco de Alimentos – PBA MDS</w:t>
            </w:r>
          </w:p>
        </w:tc>
      </w:tr>
      <w:tr w:rsidR="00BC38BF" w:rsidTr="000A1074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pStyle w:val="Corpodetexto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0035 – Habitação de Interesse Local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pStyle w:val="Corpodetexto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2.253 – Manutenção da Habitação de Interesse Local - PLHIS</w:t>
            </w:r>
          </w:p>
        </w:tc>
      </w:tr>
      <w:tr w:rsidR="00BC38BF" w:rsidTr="000A1074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pStyle w:val="Corpodetexto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0036 – Produção Cultural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pStyle w:val="Corpodetexto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1.162 – Aquisição de Equipamentos para o Museu Histórico - SECMG</w:t>
            </w:r>
          </w:p>
        </w:tc>
      </w:tr>
      <w:tr w:rsidR="00BC38BF" w:rsidTr="000A1074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pStyle w:val="Corpodetexto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0037 – Política de Proteção ao Patrimônio Cultural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BF" w:rsidRDefault="00BC38BF" w:rsidP="000A1074">
            <w:pPr>
              <w:pStyle w:val="Corpodetexto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2.254 – Manutenção do Museu Histórico - SECMG</w:t>
            </w:r>
          </w:p>
        </w:tc>
      </w:tr>
    </w:tbl>
    <w:p w:rsidR="00BC38BF" w:rsidRDefault="00BC38BF" w:rsidP="00BC38BF">
      <w:pPr>
        <w:pStyle w:val="Corpodetexto"/>
        <w:ind w:firstLine="1418"/>
        <w:rPr>
          <w:b/>
          <w:sz w:val="24"/>
          <w:szCs w:val="24"/>
        </w:rPr>
      </w:pPr>
    </w:p>
    <w:p w:rsidR="00BC38BF" w:rsidRDefault="00BC38BF" w:rsidP="00BC38BF">
      <w:pPr>
        <w:pStyle w:val="Corpodetexto"/>
        <w:ind w:firstLine="1418"/>
        <w:rPr>
          <w:b/>
          <w:sz w:val="24"/>
          <w:szCs w:val="24"/>
        </w:rPr>
      </w:pPr>
    </w:p>
    <w:p w:rsidR="00BC38BF" w:rsidRDefault="00BC38BF" w:rsidP="00BC38BF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§ 2º</w:t>
      </w:r>
      <w:r>
        <w:rPr>
          <w:sz w:val="24"/>
          <w:szCs w:val="24"/>
        </w:rPr>
        <w:t xml:space="preserve"> Fica o Poder Executivo autorizado a incluir no Anexo de Metas e Prioridades da Lei de Diretrizes Orçamentárias para o Exercício de 2012, as seguintes ações: Pavimentação de Ruas e Avenidas – Ministério das Cidades; Obras de Arte Urbanas – SETOP; Aquisição de Equipamentos, Móveis e Veículos Adm – SAÚDE; Aquisição de Equipamentos, Móveis e Veículos – CONVSA; Construção de UBS no Bairro Vila Didi – CONVSA; Aquisição de Equipamentos para o CAPS – OUTSUS; Construção da Unidade de Pronto Atendimento UPA – OUTSUS; Construção de Escolas Infantis – Pró-Infância; Aquisição de Equipamentos p/Desenv. Ensino Infantil – Pró-Infância; Implantação de Academias ao Ar Livre – SEEJ; Construção de Quadras Poliesportivas – Ministério dos Esportes; Construção e Melhoria de Praças Públicas – Ministério do Turismo; Aquisição de Equipamentos para o CRAS I– SEDESE; Construção, Reforma e Ampliação do Banco de Alimentos – PBA MDS; Aquisição de Equipamentos para o Banco de Alimentos – PBA MDS; Aquisição de Equipamentos para o CREAS – SEDESE; Aquisição de Equipamentos para o Museu Histórico – SECMG.</w:t>
      </w:r>
    </w:p>
    <w:p w:rsidR="00BC38BF" w:rsidRDefault="00BC38BF" w:rsidP="00BC38BF">
      <w:pPr>
        <w:pStyle w:val="Corpodetexto"/>
        <w:ind w:firstLine="1843"/>
        <w:rPr>
          <w:sz w:val="24"/>
          <w:szCs w:val="24"/>
        </w:rPr>
      </w:pPr>
    </w:p>
    <w:p w:rsidR="00BC38BF" w:rsidRDefault="00BC38BF" w:rsidP="00BC38BF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Para fazer face às despesas de que trata o Artigo Primeiro, fica utilizado o superávit financeiro apurado no Balanço Patrimonial do Exercício de 2011, conforme Artigo 43 da Lei 4320/64, sendo que o Grupo da Fonte e Destinação de Recursos é 2 (dois), de acordo com a Instrução Normativa nº 05/2011, Anexo III do TCEMG.</w:t>
      </w:r>
    </w:p>
    <w:p w:rsidR="00BC38BF" w:rsidRDefault="00BC38BF" w:rsidP="00BC38BF">
      <w:pPr>
        <w:keepNext/>
        <w:jc w:val="both"/>
        <w:rPr>
          <w:sz w:val="24"/>
          <w:szCs w:val="24"/>
        </w:rPr>
      </w:pPr>
    </w:p>
    <w:p w:rsidR="00BC38BF" w:rsidRDefault="00BC38BF" w:rsidP="00BC38BF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 em vigor na data de sua publicação, revogadas as disposições em contrário.</w:t>
      </w:r>
    </w:p>
    <w:p w:rsidR="00BC38BF" w:rsidRDefault="00BC38BF" w:rsidP="00BC38BF">
      <w:pPr>
        <w:keepNext/>
        <w:ind w:firstLine="2181"/>
        <w:jc w:val="both"/>
      </w:pPr>
    </w:p>
    <w:p w:rsidR="00BC38BF" w:rsidRDefault="00BC38BF" w:rsidP="00BC38BF">
      <w:pPr>
        <w:keepNext/>
        <w:ind w:firstLine="2181"/>
        <w:jc w:val="both"/>
      </w:pPr>
    </w:p>
    <w:p w:rsidR="00BC38BF" w:rsidRDefault="00BC38BF" w:rsidP="00BC38BF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09 de março de 2012.</w:t>
      </w:r>
    </w:p>
    <w:p w:rsidR="00BC38BF" w:rsidRDefault="00BC38BF" w:rsidP="00BC38BF">
      <w:pPr>
        <w:pStyle w:val="Corpodetexto32"/>
        <w:spacing w:line="100" w:lineRule="atLeast"/>
        <w:rPr>
          <w:rFonts w:ascii="Times New Roman" w:hAnsi="Times New Roman"/>
        </w:rPr>
      </w:pPr>
    </w:p>
    <w:p w:rsidR="00BC38BF" w:rsidRDefault="00BC38BF" w:rsidP="00BC38BF">
      <w:pPr>
        <w:pStyle w:val="Corpodetexto32"/>
        <w:spacing w:line="100" w:lineRule="atLeast"/>
        <w:rPr>
          <w:rFonts w:ascii="Times New Roman" w:hAnsi="Times New Roman"/>
        </w:rPr>
      </w:pPr>
    </w:p>
    <w:p w:rsidR="00BC38BF" w:rsidRDefault="00BC38BF" w:rsidP="00BC38BF">
      <w:pPr>
        <w:pStyle w:val="Corpodetexto32"/>
        <w:spacing w:line="100" w:lineRule="atLeast"/>
        <w:rPr>
          <w:rFonts w:ascii="Times New Roman" w:hAnsi="Times New Roman"/>
        </w:rPr>
      </w:pPr>
    </w:p>
    <w:p w:rsidR="00BC38BF" w:rsidRDefault="00BC38BF" w:rsidP="00BC38BF">
      <w:pPr>
        <w:pStyle w:val="Corpodetexto32"/>
        <w:spacing w:line="100" w:lineRule="atLeast"/>
        <w:rPr>
          <w:rFonts w:ascii="Times New Roman" w:hAnsi="Times New Roman"/>
        </w:rPr>
      </w:pPr>
    </w:p>
    <w:p w:rsidR="00BC38BF" w:rsidRDefault="00BC38BF" w:rsidP="00BC38BF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BC38BF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BC38BF" w:rsidRDefault="00BC38BF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ALUÍSIO VELOSO DA CUNHA</w:t>
            </w:r>
          </w:p>
          <w:p w:rsidR="00BC38BF" w:rsidRDefault="00BC38BF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BC38BF" w:rsidRDefault="00BC38BF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BC38BF" w:rsidRDefault="00BC38BF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BC38B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BF"/>
    <w:rsid w:val="000A2C50"/>
    <w:rsid w:val="00147E9B"/>
    <w:rsid w:val="004662F0"/>
    <w:rsid w:val="005B4ECA"/>
    <w:rsid w:val="0070535B"/>
    <w:rsid w:val="00757829"/>
    <w:rsid w:val="009E5F9A"/>
    <w:rsid w:val="00BC38BF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FB365-8DD9-46C5-879F-DED3A087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8BF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C38BF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BC38BF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BC38BF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C38BF"/>
    <w:rPr>
      <w:rFonts w:ascii="Arial" w:eastAsia="SimSun" w:hAnsi="Arial" w:cs="Arial"/>
      <w:bCs/>
      <w:sz w:val="24"/>
      <w:szCs w:val="20"/>
      <w:lang w:eastAsia="ar-SA"/>
    </w:rPr>
  </w:style>
  <w:style w:type="paragraph" w:customStyle="1" w:styleId="Corpodetexto32">
    <w:name w:val="Corpo de texto 32"/>
    <w:basedOn w:val="Normal"/>
    <w:rsid w:val="00BC38BF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6348</Characters>
  <Application>Microsoft Office Word</Application>
  <DocSecurity>0</DocSecurity>
  <Lines>52</Lines>
  <Paragraphs>15</Paragraphs>
  <ScaleCrop>false</ScaleCrop>
  <Company/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2018-08-30T20:07:00Z</dcterms:created>
  <dcterms:modified xsi:type="dcterms:W3CDTF">2018-08-30T20:07:00Z</dcterms:modified>
</cp:coreProperties>
</file>